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26FF186F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1D815CBE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435AF7">
        <w:rPr>
          <w:rFonts w:ascii="Times New Roman" w:hAnsi="Times New Roman"/>
          <w:b/>
          <w:bCs/>
          <w:sz w:val="24"/>
          <w:szCs w:val="24"/>
        </w:rPr>
        <w:t>008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5F0489B8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0962F9" w:rsidRPr="000962F9">
        <w:rPr>
          <w:rFonts w:ascii="Times New Roman" w:hAnsi="Times New Roman"/>
          <w:b/>
          <w:bCs/>
          <w:sz w:val="24"/>
          <w:szCs w:val="24"/>
        </w:rPr>
        <w:t>CONCEDE REVISÃO GERAL ANUAL DA REMUNERAÇÃO DOS AGENTES PÚBLICOS DO EXECUTIVO DO MUNICÍPIO DE SILVIANÓPOLIS, MG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316E2DB6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>
        <w:rPr>
          <w:rFonts w:ascii="Times New Roman" w:hAnsi="Times New Roman"/>
          <w:sz w:val="24"/>
          <w:szCs w:val="24"/>
        </w:rPr>
        <w:t>00</w:t>
      </w:r>
      <w:r w:rsidR="000962F9">
        <w:rPr>
          <w:rFonts w:ascii="Times New Roman" w:hAnsi="Times New Roman"/>
          <w:sz w:val="24"/>
          <w:szCs w:val="24"/>
        </w:rPr>
        <w:t>8</w:t>
      </w:r>
      <w:r w:rsidRPr="00A04A2F">
        <w:rPr>
          <w:rFonts w:ascii="Times New Roman" w:hAnsi="Times New Roman"/>
          <w:sz w:val="24"/>
          <w:szCs w:val="24"/>
        </w:rPr>
        <w:t xml:space="preserve">/2025 QUE </w:t>
      </w:r>
      <w:r w:rsidR="000962F9" w:rsidRPr="000962F9">
        <w:rPr>
          <w:rFonts w:ascii="Times New Roman" w:hAnsi="Times New Roman"/>
          <w:sz w:val="24"/>
          <w:szCs w:val="24"/>
        </w:rPr>
        <w:t>CONCEDE REVISÃO GERAL ANUAL DA REMUNERAÇÃO DOS AGENTES PÚBLICOS DO EXECUTIVO DO MUNICÍPIO DE SILVIANÓPOLIS, MG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4FBB634" w:rsidR="00737829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0662B0"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="000662B0"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="000662B0"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t xml:space="preserve">§ 1º- É obrigatório a audiência da Comissão de Justiça, Legislação, Redação, Finanças e Orçamentos, sobre todos os processos que tramitarem pela Câmara ressalvado os que explicitamente tiverem </w:t>
      </w:r>
      <w:r w:rsidRPr="003A2CC0">
        <w:rPr>
          <w:rFonts w:ascii="Times New Roman" w:hAnsi="Times New Roman"/>
          <w:sz w:val="24"/>
          <w:szCs w:val="24"/>
        </w:rPr>
        <w:lastRenderedPageBreak/>
        <w:t xml:space="preserve">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3FCBBFC" w:rsidR="006F27C3" w:rsidRDefault="006F27C3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Acompanhou a medida os impactos orçamentários nos termos da legislação fiscal aplicável.</w:t>
      </w:r>
    </w:p>
    <w:p w14:paraId="2BCC8859" w14:textId="5FF3A32C" w:rsidR="004A7F53" w:rsidRDefault="008A19C8" w:rsidP="009D6C0B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</w:t>
      </w:r>
      <w:r w:rsidR="00A400DA">
        <w:rPr>
          <w:rFonts w:ascii="Times New Roman" w:hAnsi="Times New Roman"/>
          <w:sz w:val="24"/>
          <w:szCs w:val="24"/>
        </w:rPr>
        <w:t xml:space="preserve">tem relevância </w:t>
      </w:r>
      <w:r w:rsidR="000962F9">
        <w:rPr>
          <w:rFonts w:ascii="Times New Roman" w:hAnsi="Times New Roman"/>
          <w:sz w:val="24"/>
          <w:szCs w:val="24"/>
        </w:rPr>
        <w:t xml:space="preserve">pois dá </w:t>
      </w:r>
      <w:r w:rsidR="0061109F">
        <w:rPr>
          <w:rFonts w:ascii="Times New Roman" w:hAnsi="Times New Roman"/>
          <w:sz w:val="24"/>
          <w:szCs w:val="24"/>
        </w:rPr>
        <w:t>o reajuste das perdas inflacionárias aos servidores de acordo com o que manda a Constituição</w:t>
      </w:r>
      <w:r w:rsidR="009D6C0B">
        <w:rPr>
          <w:rFonts w:ascii="Times New Roman" w:hAnsi="Times New Roman"/>
          <w:sz w:val="24"/>
          <w:szCs w:val="24"/>
        </w:rPr>
        <w:t>.</w:t>
      </w:r>
      <w:r w:rsidR="00AC085D">
        <w:rPr>
          <w:rFonts w:ascii="Times New Roman" w:hAnsi="Times New Roman"/>
          <w:sz w:val="24"/>
          <w:szCs w:val="24"/>
        </w:rPr>
        <w:t xml:space="preserve"> Embora a maioria dos Vereadores desta Comissão registram o desconforto dos servidores do executivo em relação ao tratamento do tema da jornada de trabalho que indiretamente trata do vencimento base aqui reajustado, situação que está sendo discutido em </w:t>
      </w:r>
      <w:r w:rsidR="000060E1">
        <w:rPr>
          <w:rFonts w:ascii="Times New Roman" w:hAnsi="Times New Roman"/>
          <w:sz w:val="24"/>
          <w:szCs w:val="24"/>
        </w:rPr>
        <w:t>outros expedientes nesta Casa.</w:t>
      </w:r>
    </w:p>
    <w:p w14:paraId="55E5DC6F" w14:textId="6BCC49B5" w:rsidR="00187C64" w:rsidRDefault="0061109F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 w:rsidR="00103269">
        <w:rPr>
          <w:rFonts w:ascii="Times New Roman" w:hAnsi="Times New Roman"/>
          <w:bCs/>
          <w:sz w:val="24"/>
          <w:szCs w:val="24"/>
        </w:rPr>
        <w:t xml:space="preserve">proposição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BDF61" w14:textId="69C388AB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</w:t>
      </w:r>
      <w:proofErr w:type="gramStart"/>
      <w:r w:rsidRPr="00D6617B">
        <w:rPr>
          <w:rFonts w:ascii="Times New Roman" w:hAnsi="Times New Roman"/>
          <w:sz w:val="24"/>
          <w:szCs w:val="24"/>
        </w:rPr>
        <w:t>n.º</w:t>
      </w:r>
      <w:proofErr w:type="gramEnd"/>
      <w:r w:rsidRPr="00D6617B">
        <w:rPr>
          <w:rFonts w:ascii="Times New Roman" w:hAnsi="Times New Roman"/>
          <w:sz w:val="24"/>
          <w:szCs w:val="24"/>
        </w:rPr>
        <w:t xml:space="preserve"> </w:t>
      </w:r>
      <w:r w:rsidR="0061109F">
        <w:rPr>
          <w:rFonts w:ascii="Times New Roman" w:hAnsi="Times New Roman"/>
          <w:sz w:val="24"/>
          <w:szCs w:val="24"/>
        </w:rPr>
        <w:t>008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53E4A3A3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Pr="00886AE3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A" w14:textId="758CCDF8" w:rsidR="00187C64" w:rsidRPr="00886AE3" w:rsidRDefault="00187C64" w:rsidP="00D6617B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B" w14:textId="77777777" w:rsidR="003301D7" w:rsidRDefault="00187C64" w:rsidP="003301D7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C" w14:textId="63C6AB4C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778E2">
        <w:rPr>
          <w:rFonts w:ascii="Times New Roman" w:hAnsi="Times New Roman"/>
          <w:sz w:val="24"/>
          <w:szCs w:val="24"/>
        </w:rPr>
        <w:t>06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33E867B5" w14:textId="77777777" w:rsidR="0044641B" w:rsidRPr="00886AE3" w:rsidRDefault="0044641B" w:rsidP="0044641B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75DF56E1" w14:textId="77777777" w:rsidR="0044641B" w:rsidRPr="00886AE3" w:rsidRDefault="0044641B" w:rsidP="0044641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1414E48F" w14:textId="77777777" w:rsidR="0044641B" w:rsidRPr="00886AE3" w:rsidRDefault="0044641B" w:rsidP="0044641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00910E4E" w14:textId="77777777" w:rsidR="0044641B" w:rsidRDefault="0044641B" w:rsidP="004464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DE7D55" w14:textId="77777777" w:rsidR="0044641B" w:rsidRDefault="0044641B" w:rsidP="004464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7B0C29" w14:textId="77777777" w:rsidR="0044641B" w:rsidRDefault="0044641B" w:rsidP="004464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448E3D83" w14:textId="77777777" w:rsidR="0044641B" w:rsidRDefault="0044641B" w:rsidP="004464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55E5DC85" w14:textId="25FC05AE" w:rsidR="00886AE3" w:rsidRPr="00886AE3" w:rsidRDefault="00886AE3" w:rsidP="00453D01">
      <w:pPr>
        <w:spacing w:after="0"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886AE3" w:rsidRPr="00886AE3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3D0A" w14:textId="77777777" w:rsidR="00C57983" w:rsidRDefault="00C57983" w:rsidP="002F1453">
      <w:pPr>
        <w:spacing w:after="0" w:line="240" w:lineRule="auto"/>
      </w:pPr>
      <w:r>
        <w:separator/>
      </w:r>
    </w:p>
  </w:endnote>
  <w:endnote w:type="continuationSeparator" w:id="0">
    <w:p w14:paraId="47EF455E" w14:textId="77777777" w:rsidR="00C57983" w:rsidRDefault="00C57983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9CB5" w14:textId="77777777" w:rsidR="00C57983" w:rsidRDefault="00C57983" w:rsidP="002F1453">
      <w:pPr>
        <w:spacing w:after="0" w:line="240" w:lineRule="auto"/>
      </w:pPr>
      <w:r>
        <w:separator/>
      </w:r>
    </w:p>
  </w:footnote>
  <w:footnote w:type="continuationSeparator" w:id="0">
    <w:p w14:paraId="625E7860" w14:textId="77777777" w:rsidR="00C57983" w:rsidRDefault="00C57983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0E1"/>
    <w:rsid w:val="000062D6"/>
    <w:rsid w:val="00027487"/>
    <w:rsid w:val="0005584C"/>
    <w:rsid w:val="000563E0"/>
    <w:rsid w:val="000662B0"/>
    <w:rsid w:val="00071885"/>
    <w:rsid w:val="000756E9"/>
    <w:rsid w:val="000958BB"/>
    <w:rsid w:val="000962F9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A4537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35AF7"/>
    <w:rsid w:val="0044641B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09F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35318"/>
    <w:rsid w:val="00857783"/>
    <w:rsid w:val="00873D5A"/>
    <w:rsid w:val="008857D3"/>
    <w:rsid w:val="00886AE3"/>
    <w:rsid w:val="008A19C8"/>
    <w:rsid w:val="008B2FF2"/>
    <w:rsid w:val="008D1F49"/>
    <w:rsid w:val="008E66CF"/>
    <w:rsid w:val="008F321F"/>
    <w:rsid w:val="009006DC"/>
    <w:rsid w:val="00944E95"/>
    <w:rsid w:val="0094628A"/>
    <w:rsid w:val="00952A92"/>
    <w:rsid w:val="0095342C"/>
    <w:rsid w:val="00971E79"/>
    <w:rsid w:val="00976E3A"/>
    <w:rsid w:val="009A0E08"/>
    <w:rsid w:val="009A5548"/>
    <w:rsid w:val="009A7EEF"/>
    <w:rsid w:val="009C4AF0"/>
    <w:rsid w:val="009D6C0B"/>
    <w:rsid w:val="009F0E89"/>
    <w:rsid w:val="00A04A2F"/>
    <w:rsid w:val="00A20F00"/>
    <w:rsid w:val="00A400DA"/>
    <w:rsid w:val="00A43EA2"/>
    <w:rsid w:val="00A62741"/>
    <w:rsid w:val="00AC085D"/>
    <w:rsid w:val="00AC18CA"/>
    <w:rsid w:val="00AD39B4"/>
    <w:rsid w:val="00AD3D23"/>
    <w:rsid w:val="00AE5046"/>
    <w:rsid w:val="00AF2CA4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57983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D1206"/>
    <w:rsid w:val="00DF1068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1449E"/>
    <w:rsid w:val="00F247F9"/>
    <w:rsid w:val="00F2586E"/>
    <w:rsid w:val="00F700FD"/>
    <w:rsid w:val="00F83007"/>
    <w:rsid w:val="00F9624B"/>
    <w:rsid w:val="00FC3975"/>
    <w:rsid w:val="00FD180B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20</cp:revision>
  <cp:lastPrinted>2024-11-11T19:39:00Z</cp:lastPrinted>
  <dcterms:created xsi:type="dcterms:W3CDTF">2025-02-10T11:51:00Z</dcterms:created>
  <dcterms:modified xsi:type="dcterms:W3CDTF">2025-02-17T17:06:00Z</dcterms:modified>
</cp:coreProperties>
</file>