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26FF186F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580AD087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2441B4">
        <w:rPr>
          <w:rFonts w:ascii="Times New Roman" w:hAnsi="Times New Roman"/>
          <w:b/>
          <w:sz w:val="24"/>
          <w:szCs w:val="24"/>
        </w:rPr>
        <w:t xml:space="preserve">apreciação das contas do exercício de </w:t>
      </w:r>
      <w:r w:rsidR="00974630">
        <w:rPr>
          <w:rFonts w:ascii="Times New Roman" w:hAnsi="Times New Roman"/>
          <w:b/>
          <w:sz w:val="24"/>
          <w:szCs w:val="24"/>
        </w:rPr>
        <w:t>2023</w:t>
      </w:r>
      <w:r w:rsidR="002441B4">
        <w:rPr>
          <w:rFonts w:ascii="Times New Roman" w:hAnsi="Times New Roman"/>
          <w:b/>
          <w:sz w:val="24"/>
          <w:szCs w:val="24"/>
        </w:rPr>
        <w:t xml:space="preserve"> do Prefeito à época </w:t>
      </w:r>
      <w:r w:rsidR="00974630" w:rsidRPr="00974630">
        <w:rPr>
          <w:rFonts w:ascii="Times New Roman" w:hAnsi="Times New Roman"/>
          <w:b/>
          <w:sz w:val="24"/>
          <w:szCs w:val="24"/>
        </w:rPr>
        <w:t>Homero Brasil Filho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52AF34B3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>suas atribuições legais</w:t>
      </w:r>
      <w:r w:rsidR="006F51F0">
        <w:rPr>
          <w:rFonts w:ascii="Times New Roman" w:hAnsi="Times New Roman"/>
          <w:sz w:val="24"/>
          <w:szCs w:val="24"/>
        </w:rPr>
        <w:t xml:space="preserve">, passa ao exame das contas anuais do exercício de </w:t>
      </w:r>
      <w:r w:rsidR="00974630">
        <w:rPr>
          <w:rFonts w:ascii="Times New Roman" w:hAnsi="Times New Roman"/>
          <w:sz w:val="24"/>
          <w:szCs w:val="24"/>
        </w:rPr>
        <w:t>2023</w:t>
      </w:r>
      <w:r w:rsidR="006F51F0">
        <w:rPr>
          <w:rFonts w:ascii="Times New Roman" w:hAnsi="Times New Roman"/>
          <w:sz w:val="24"/>
          <w:szCs w:val="24"/>
        </w:rPr>
        <w:t xml:space="preserve"> do prefeito à época </w:t>
      </w:r>
      <w:r w:rsidR="00974630" w:rsidRPr="00974630">
        <w:rPr>
          <w:rFonts w:ascii="Times New Roman" w:hAnsi="Times New Roman"/>
          <w:sz w:val="24"/>
          <w:szCs w:val="24"/>
        </w:rPr>
        <w:t>Homero Brasil Filho</w:t>
      </w:r>
      <w:r>
        <w:rPr>
          <w:rFonts w:ascii="Times New Roman" w:hAnsi="Times New Roman"/>
          <w:sz w:val="24"/>
          <w:szCs w:val="24"/>
        </w:rPr>
        <w:t>.</w:t>
      </w:r>
    </w:p>
    <w:p w14:paraId="415EC674" w14:textId="452BF432" w:rsidR="00E70F43" w:rsidRPr="00E70F43" w:rsidRDefault="00E70F43" w:rsidP="00E70F43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E70F43">
        <w:rPr>
          <w:rFonts w:ascii="Times New Roman" w:hAnsi="Times New Roman"/>
          <w:sz w:val="24"/>
          <w:szCs w:val="24"/>
        </w:rPr>
        <w:t xml:space="preserve">Constam as notas taquigráficas do Parecer Prévio do Tribunal Contas de Minas Gerais, sobre o exame das contas nº </w:t>
      </w:r>
      <w:r w:rsidR="00974630" w:rsidRPr="00974630">
        <w:rPr>
          <w:rFonts w:ascii="Times New Roman" w:hAnsi="Times New Roman"/>
          <w:b/>
          <w:bCs/>
          <w:sz w:val="24"/>
          <w:szCs w:val="24"/>
        </w:rPr>
        <w:t>1168002</w:t>
      </w:r>
      <w:r w:rsidR="005D1EEB">
        <w:rPr>
          <w:rFonts w:ascii="Times New Roman" w:hAnsi="Times New Roman"/>
          <w:b/>
          <w:bCs/>
          <w:sz w:val="24"/>
          <w:szCs w:val="24"/>
        </w:rPr>
        <w:t xml:space="preserve"> - Eletrônico</w:t>
      </w:r>
      <w:r w:rsidRPr="00E70F43">
        <w:rPr>
          <w:rFonts w:ascii="Times New Roman" w:hAnsi="Times New Roman"/>
          <w:sz w:val="24"/>
          <w:szCs w:val="24"/>
        </w:rPr>
        <w:t xml:space="preserve">, referentes ao exercício de </w:t>
      </w:r>
      <w:r w:rsidR="00974630">
        <w:rPr>
          <w:rFonts w:ascii="Times New Roman" w:hAnsi="Times New Roman"/>
          <w:sz w:val="24"/>
          <w:szCs w:val="24"/>
        </w:rPr>
        <w:t>2023</w:t>
      </w:r>
      <w:r w:rsidRPr="00E70F43">
        <w:rPr>
          <w:rFonts w:ascii="Times New Roman" w:hAnsi="Times New Roman"/>
          <w:sz w:val="24"/>
          <w:szCs w:val="24"/>
        </w:rPr>
        <w:t xml:space="preserve">, tendo como ordenador da despesa o Prefeito </w:t>
      </w:r>
      <w:r>
        <w:rPr>
          <w:rFonts w:ascii="Times New Roman" w:hAnsi="Times New Roman"/>
          <w:sz w:val="24"/>
          <w:szCs w:val="24"/>
        </w:rPr>
        <w:t xml:space="preserve">à época </w:t>
      </w:r>
      <w:r w:rsidR="00974630" w:rsidRPr="00974630">
        <w:rPr>
          <w:rFonts w:ascii="Times New Roman" w:hAnsi="Times New Roman"/>
          <w:sz w:val="24"/>
          <w:szCs w:val="24"/>
        </w:rPr>
        <w:t>Homero Brasil Filho</w:t>
      </w:r>
      <w:r w:rsidRPr="00E70F43">
        <w:rPr>
          <w:rFonts w:ascii="Times New Roman" w:hAnsi="Times New Roman"/>
          <w:sz w:val="24"/>
          <w:szCs w:val="24"/>
        </w:rPr>
        <w:t>, que não constatou nenhuma irregularidade passível de rejeição das contas.</w:t>
      </w:r>
    </w:p>
    <w:p w14:paraId="3D30278B" w14:textId="1403C0D7" w:rsidR="00E70F43" w:rsidRDefault="00E70F43" w:rsidP="00E70F43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E70F43">
        <w:rPr>
          <w:rFonts w:ascii="Times New Roman" w:hAnsi="Times New Roman"/>
          <w:sz w:val="24"/>
          <w:szCs w:val="24"/>
        </w:rPr>
        <w:t>Este é o relatório.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3CC2AD2" w14:textId="6B4FE1FB" w:rsidR="00F276E8" w:rsidRDefault="00F276E8" w:rsidP="00A2690D">
      <w:pPr>
        <w:pStyle w:val="111"/>
      </w:pPr>
      <w:r w:rsidRPr="00F276E8">
        <w:t xml:space="preserve">Examinando o parecer prévio do Tribunal de Contas aprovado por unanimidade da Corte de Contas o voto proposto pelo CONSELHEIRO </w:t>
      </w:r>
      <w:r w:rsidR="00974630" w:rsidRPr="00974630">
        <w:t>MAURI TORRES</w:t>
      </w:r>
      <w:r w:rsidRPr="00F276E8">
        <w:t>, com a seguinte Ementa:</w:t>
      </w:r>
    </w:p>
    <w:p w14:paraId="568C58B4" w14:textId="77777777" w:rsidR="00461E15" w:rsidRDefault="00461E15" w:rsidP="00A2690D">
      <w:pPr>
        <w:pStyle w:val="222"/>
      </w:pPr>
      <w:r w:rsidRPr="00461E15">
        <w:t>PRESTAÇÃO DE CONTAS. EXECUTIVO MUNICIPAL. EXECUÇÃO DO ORÇAMENTO.</w:t>
      </w:r>
      <w:r>
        <w:t xml:space="preserve"> </w:t>
      </w:r>
      <w:r w:rsidRPr="00461E15">
        <w:t>ÍNDICES E LIMITES CONSTITUCIONAIS E LEGAIS. REPASSE AO PODER</w:t>
      </w:r>
      <w:r>
        <w:t xml:space="preserve"> </w:t>
      </w:r>
      <w:r w:rsidRPr="00461E15">
        <w:t>LEGISLATIVO MUNICIPAL. MANUTENÇÃO E DESENVOLVIMENTO DO ENSINO –</w:t>
      </w:r>
      <w:r>
        <w:t xml:space="preserve"> </w:t>
      </w:r>
      <w:r w:rsidRPr="00461E15">
        <w:t>MDE.FUNDEB. APLICAÇÃO EM AÇÕES E SERVIÇOS PÚBLICOS DE SAÚDE.</w:t>
      </w:r>
      <w:r>
        <w:t xml:space="preserve"> </w:t>
      </w:r>
      <w:r w:rsidRPr="00461E15">
        <w:t>DESPESAS COM PESSOAL. DÍVIDA CONSOLIDADA LÍQUIDA. OPERAÇÕES DE</w:t>
      </w:r>
      <w:r>
        <w:t xml:space="preserve"> </w:t>
      </w:r>
      <w:r w:rsidRPr="00461E15">
        <w:t>CRÉDITO. RELATÓRIO DE CONTROLE INTERNO. QUALIDADE DAS</w:t>
      </w:r>
      <w:r>
        <w:t xml:space="preserve"> </w:t>
      </w:r>
      <w:r w:rsidRPr="00461E15">
        <w:t>INFORMAÇÕES. REGULARIDADE. PARECER PRÉVIO PELA APROVAÇÃO DAS</w:t>
      </w:r>
      <w:r>
        <w:t xml:space="preserve"> </w:t>
      </w:r>
      <w:r w:rsidRPr="00461E15">
        <w:t xml:space="preserve">CONTAS. RECOMENDAÇÕES. </w:t>
      </w:r>
    </w:p>
    <w:p w14:paraId="7AAE3498" w14:textId="1D335D3B" w:rsidR="00C23757" w:rsidRDefault="00C23757" w:rsidP="00A2690D">
      <w:pPr>
        <w:pStyle w:val="111"/>
      </w:pPr>
      <w:r w:rsidRPr="00C23757">
        <w:t>No voto condutor o ilustre Conselheiro conclui:</w:t>
      </w:r>
    </w:p>
    <w:p w14:paraId="74424BC4" w14:textId="77777777" w:rsidR="00283482" w:rsidRDefault="00A2690D" w:rsidP="00283482">
      <w:pPr>
        <w:pStyle w:val="222"/>
      </w:pPr>
      <w:r w:rsidRPr="00A2690D">
        <w:lastRenderedPageBreak/>
        <w:t xml:space="preserve">Diante de todo o exposto, voto pela emissão de Parecer Prévio </w:t>
      </w:r>
      <w:r w:rsidRPr="00A2690D">
        <w:rPr>
          <w:b/>
          <w:bCs/>
        </w:rPr>
        <w:t xml:space="preserve">pela aprovação das contas </w:t>
      </w:r>
      <w:r w:rsidRPr="00A2690D">
        <w:t>do</w:t>
      </w:r>
      <w:r>
        <w:t xml:space="preserve"> </w:t>
      </w:r>
      <w:r w:rsidRPr="00A2690D">
        <w:t xml:space="preserve">responsável pela Prefeitura Municipal de Silvianópolis, no exercício </w:t>
      </w:r>
      <w:r w:rsidRPr="00A2690D">
        <w:rPr>
          <w:b/>
          <w:bCs/>
        </w:rPr>
        <w:t>de 2023</w:t>
      </w:r>
      <w:r w:rsidRPr="00A2690D">
        <w:t>, sr. Homero Brasil</w:t>
      </w:r>
      <w:r>
        <w:t xml:space="preserve"> </w:t>
      </w:r>
      <w:r w:rsidRPr="00A2690D">
        <w:t>Filho, nos termos do art. 45, inciso I, da Lei Complementar n. 102/2008, porquanto foram</w:t>
      </w:r>
      <w:r w:rsidR="00283482">
        <w:t xml:space="preserve"> </w:t>
      </w:r>
      <w:r w:rsidRPr="00A2690D">
        <w:t>constatados a execução do orçamento segundo os instrumentos de planejamento governamental</w:t>
      </w:r>
      <w:r w:rsidR="00283482">
        <w:t xml:space="preserve"> </w:t>
      </w:r>
      <w:r w:rsidRPr="00A2690D">
        <w:t>e o cumprimento dos índices e limites constitucionais e legais.</w:t>
      </w:r>
      <w:r w:rsidR="00283482">
        <w:t xml:space="preserve"> </w:t>
      </w:r>
    </w:p>
    <w:p w14:paraId="4C9CB7BF" w14:textId="77777777" w:rsidR="00283482" w:rsidRDefault="00A2690D" w:rsidP="00283482">
      <w:pPr>
        <w:pStyle w:val="222"/>
      </w:pPr>
      <w:r w:rsidRPr="00A2690D">
        <w:t>Tendo em vista os apontamentos constantes do relatório técnico, peça n. 20 do SGAP,</w:t>
      </w:r>
      <w:r w:rsidR="00283482">
        <w:t xml:space="preserve"> </w:t>
      </w:r>
      <w:r w:rsidRPr="00A2690D">
        <w:rPr>
          <w:b/>
          <w:bCs/>
        </w:rPr>
        <w:t xml:space="preserve">recomendo </w:t>
      </w:r>
      <w:r w:rsidRPr="00A2690D">
        <w:t>ao atual gestor que adote providências junto às unidades administrativas municipais</w:t>
      </w:r>
      <w:r w:rsidR="00283482">
        <w:t xml:space="preserve"> </w:t>
      </w:r>
      <w:r w:rsidRPr="00A2690D">
        <w:t>competentes visando garantir que:</w:t>
      </w:r>
      <w:r w:rsidR="00283482">
        <w:t xml:space="preserve"> </w:t>
      </w:r>
    </w:p>
    <w:p w14:paraId="638C66FB" w14:textId="77777777" w:rsidR="00283482" w:rsidRDefault="00A2690D" w:rsidP="00283482">
      <w:pPr>
        <w:pStyle w:val="222"/>
      </w:pPr>
      <w:r w:rsidRPr="00A2690D">
        <w:rPr>
          <w:b/>
          <w:bCs/>
        </w:rPr>
        <w:t xml:space="preserve">a) </w:t>
      </w:r>
      <w:r w:rsidRPr="00A2690D">
        <w:t>seja estabelecido, com razoabilidade, os índices de autorização para abertura de créditos</w:t>
      </w:r>
      <w:r w:rsidR="00283482">
        <w:t xml:space="preserve"> </w:t>
      </w:r>
      <w:r w:rsidRPr="00A2690D">
        <w:t>suplementares ao orçamento municipal;</w:t>
      </w:r>
    </w:p>
    <w:p w14:paraId="468066AC" w14:textId="77777777" w:rsidR="00283482" w:rsidRDefault="00A2690D" w:rsidP="00283482">
      <w:pPr>
        <w:pStyle w:val="222"/>
      </w:pPr>
      <w:r w:rsidRPr="00A2690D">
        <w:rPr>
          <w:b/>
          <w:bCs/>
        </w:rPr>
        <w:t xml:space="preserve">b) </w:t>
      </w:r>
      <w:r w:rsidRPr="00A2690D">
        <w:t>junto ao Poder Legislativo que, ao apreciar e votar o Projeto de Lei Orçamentária Municipal</w:t>
      </w:r>
      <w:r w:rsidR="00283482">
        <w:t xml:space="preserve"> </w:t>
      </w:r>
      <w:r w:rsidRPr="00A2690D">
        <w:t>observe com cautela os índices de autorização para suplementação de dotações fixados pelo</w:t>
      </w:r>
      <w:r w:rsidR="00283482">
        <w:t xml:space="preserve"> </w:t>
      </w:r>
      <w:r w:rsidRPr="00A2690D">
        <w:t>Município;</w:t>
      </w:r>
      <w:r w:rsidR="00283482">
        <w:t xml:space="preserve"> </w:t>
      </w:r>
    </w:p>
    <w:p w14:paraId="6B1BC46B" w14:textId="77777777" w:rsidR="00283482" w:rsidRDefault="00A2690D" w:rsidP="00283482">
      <w:pPr>
        <w:pStyle w:val="222"/>
      </w:pPr>
      <w:r w:rsidRPr="00A2690D">
        <w:rPr>
          <w:b/>
          <w:bCs/>
        </w:rPr>
        <w:t xml:space="preserve">c) </w:t>
      </w:r>
      <w:r w:rsidRPr="00A2690D">
        <w:t>o valor do superávit financeiro, indicado no quadro anexo do balanço patrimonial do</w:t>
      </w:r>
      <w:r w:rsidR="00283482">
        <w:t xml:space="preserve"> </w:t>
      </w:r>
      <w:r w:rsidRPr="00A2690D">
        <w:t>exercício anterior (Sicom- DCASP informado), corresponda à diferença positiva entre o ativo</w:t>
      </w:r>
      <w:r w:rsidR="00283482">
        <w:t xml:space="preserve"> </w:t>
      </w:r>
      <w:r w:rsidRPr="00A2690D">
        <w:t>financeiro e o passivo financeiro, conjugando-se, ainda, os saldos dos créditos adicionais</w:t>
      </w:r>
      <w:r w:rsidR="00283482">
        <w:t xml:space="preserve"> </w:t>
      </w:r>
      <w:r w:rsidRPr="00A2690D">
        <w:t>transferidos e as operações de crédito a eles vinculadas, considerando também o correto</w:t>
      </w:r>
      <w:r w:rsidR="00283482">
        <w:t xml:space="preserve"> </w:t>
      </w:r>
      <w:r w:rsidRPr="00A2690D">
        <w:t>controle por fonte de recursos (Sicom - AM apurado), conforme art. 43, § 1º, inciso I e § 2º, da</w:t>
      </w:r>
      <w:r w:rsidR="00283482">
        <w:t xml:space="preserve"> </w:t>
      </w:r>
      <w:r w:rsidRPr="00A2690D">
        <w:t>Lei n. 4.320/64 c/c art. 8º, parágrafo único, da Lei Complementar n. 101/2000;</w:t>
      </w:r>
      <w:r w:rsidR="00283482">
        <w:t xml:space="preserve"> </w:t>
      </w:r>
    </w:p>
    <w:p w14:paraId="5AB63805" w14:textId="77777777" w:rsidR="00283482" w:rsidRDefault="00A2690D" w:rsidP="00283482">
      <w:pPr>
        <w:pStyle w:val="222"/>
      </w:pPr>
      <w:r w:rsidRPr="00A2690D">
        <w:rPr>
          <w:b/>
          <w:bCs/>
        </w:rPr>
        <w:t xml:space="preserve">d) </w:t>
      </w:r>
      <w:r w:rsidRPr="00A2690D">
        <w:t>a observância do parecer exarado na Consulta TCEMG n. 932477/2014, fundamentado no</w:t>
      </w:r>
      <w:r w:rsidR="00283482">
        <w:t xml:space="preserve"> </w:t>
      </w:r>
      <w:r w:rsidRPr="00A2690D">
        <w:t>disposto no art. 43 da Lei n. 4.320/1964 e no parágrafo único, art. 8º c/c inciso I, art. 50, ambos</w:t>
      </w:r>
      <w:r w:rsidR="00283482">
        <w:t xml:space="preserve"> </w:t>
      </w:r>
      <w:r w:rsidRPr="00A2690D">
        <w:t>da Lei Complementar n. 101/2000 que objetivam assegurar os recursos para abertura de créditos</w:t>
      </w:r>
      <w:r w:rsidR="00283482">
        <w:t xml:space="preserve"> </w:t>
      </w:r>
      <w:r w:rsidRPr="00A2690D">
        <w:t>suplementares e especiais, sua utilização no objeto ao qual se vinculam legalmente, bem como</w:t>
      </w:r>
      <w:r w:rsidR="00283482">
        <w:t xml:space="preserve"> </w:t>
      </w:r>
      <w:r w:rsidRPr="00A2690D">
        <w:t>a adequada escrituração;</w:t>
      </w:r>
      <w:r w:rsidR="00283482">
        <w:t xml:space="preserve"> </w:t>
      </w:r>
    </w:p>
    <w:p w14:paraId="6DCC5268" w14:textId="77777777" w:rsidR="00283482" w:rsidRDefault="00A2690D" w:rsidP="00283482">
      <w:pPr>
        <w:pStyle w:val="222"/>
      </w:pPr>
      <w:r w:rsidRPr="00A2690D">
        <w:rPr>
          <w:b/>
          <w:bCs/>
        </w:rPr>
        <w:t xml:space="preserve">e) </w:t>
      </w:r>
      <w:r w:rsidRPr="00A2690D">
        <w:t>junto ao Executivo e ao Legislativo que informem os valores corretamente, conforme a</w:t>
      </w:r>
      <w:r w:rsidR="00283482">
        <w:t xml:space="preserve"> </w:t>
      </w:r>
      <w:r w:rsidRPr="00A2690D">
        <w:t>realidade ocorrida no Município, para que não haja divergência entre as informações de repasse</w:t>
      </w:r>
      <w:r w:rsidR="00283482">
        <w:t xml:space="preserve"> </w:t>
      </w:r>
      <w:r w:rsidRPr="00A2690D">
        <w:t>e devolução de numerário;</w:t>
      </w:r>
      <w:r w:rsidR="00283482">
        <w:t xml:space="preserve"> </w:t>
      </w:r>
    </w:p>
    <w:p w14:paraId="0F863F29" w14:textId="77777777" w:rsidR="00681912" w:rsidRDefault="00A2690D" w:rsidP="00681912">
      <w:pPr>
        <w:pStyle w:val="222"/>
      </w:pPr>
      <w:r w:rsidRPr="00A2690D">
        <w:rPr>
          <w:b/>
          <w:bCs/>
        </w:rPr>
        <w:t xml:space="preserve">f) </w:t>
      </w:r>
      <w:r w:rsidRPr="00A2690D">
        <w:t>a movimentação dos recursos correspondentes aos pagamentos de despesas com ASPS seja</w:t>
      </w:r>
      <w:r w:rsidR="00283482">
        <w:t xml:space="preserve"> </w:t>
      </w:r>
      <w:r w:rsidRPr="00A2690D">
        <w:t>realizada em conta bancária específica, identificados e escriturados de forma individualizada,</w:t>
      </w:r>
      <w:r w:rsidR="00283482">
        <w:t xml:space="preserve"> </w:t>
      </w:r>
      <w:r w:rsidRPr="00A2690D">
        <w:t>conforme parâmetros utilizados no Sicom estabelecidos na Instrução Normativa</w:t>
      </w:r>
      <w:r w:rsidR="00283482">
        <w:t xml:space="preserve"> </w:t>
      </w:r>
      <w:r w:rsidRPr="00A2690D">
        <w:t>TCEMG n. 5/2011, alterada pela Instrução Normativa TCEMG n. 15/2011 e Comunicado</w:t>
      </w:r>
      <w:r w:rsidR="00283482">
        <w:t xml:space="preserve"> </w:t>
      </w:r>
      <w:r w:rsidRPr="00A2690D">
        <w:t>Sicom n. 35/2014, como também de forma atender a Consulta n. 1088810, ao disposto na</w:t>
      </w:r>
      <w:r w:rsidR="00283482">
        <w:t xml:space="preserve"> </w:t>
      </w:r>
      <w:r w:rsidRPr="00A2690D">
        <w:t>Lei n. 8080/1990, Lei Complementar n. 141/2012 c/c os arts. 2º, §§ 1º e 2º e 8º, da Instrução</w:t>
      </w:r>
      <w:r w:rsidR="00681912">
        <w:t xml:space="preserve"> </w:t>
      </w:r>
      <w:r w:rsidRPr="00A2690D">
        <w:t>Normativa TCEMG n. 19/2008;</w:t>
      </w:r>
    </w:p>
    <w:p w14:paraId="2A3C5711" w14:textId="77777777" w:rsidR="00681912" w:rsidRDefault="00A2690D" w:rsidP="00681912">
      <w:pPr>
        <w:pStyle w:val="222"/>
      </w:pPr>
      <w:r w:rsidRPr="00A2690D">
        <w:rPr>
          <w:b/>
          <w:bCs/>
        </w:rPr>
        <w:t xml:space="preserve">g) </w:t>
      </w:r>
      <w:r w:rsidRPr="00A2690D">
        <w:t>a correta classificação e o cômputo, para fins de apuração do limite da despesa total com</w:t>
      </w:r>
      <w:r w:rsidR="00681912">
        <w:t xml:space="preserve"> </w:t>
      </w:r>
      <w:r w:rsidRPr="00A2690D">
        <w:t>pessoal, dos gastos com os contratos de terceirização de mão-de-obra, empregada em atividade</w:t>
      </w:r>
      <w:r w:rsidR="00681912">
        <w:t xml:space="preserve"> </w:t>
      </w:r>
      <w:r w:rsidRPr="00A2690D">
        <w:t>fim</w:t>
      </w:r>
      <w:r w:rsidR="00681912">
        <w:t xml:space="preserve"> </w:t>
      </w:r>
      <w:r w:rsidRPr="00A2690D">
        <w:t>ou inerentes a categorias funcionais abrangidas pelo respectivo plano de cargos e salários</w:t>
      </w:r>
      <w:r w:rsidR="00681912">
        <w:t xml:space="preserve"> </w:t>
      </w:r>
      <w:r w:rsidRPr="00A2690D">
        <w:t>do quadro de pessoal municipal, com serviços médicos plantonistas especializados e com</w:t>
      </w:r>
      <w:r w:rsidR="00681912">
        <w:t xml:space="preserve"> </w:t>
      </w:r>
      <w:r w:rsidRPr="00A2690D">
        <w:t>pagamento dos profissionais contratados para atuar na Estratégia de Saúde da Família,</w:t>
      </w:r>
      <w:r w:rsidR="00681912">
        <w:t xml:space="preserve"> </w:t>
      </w:r>
      <w:r w:rsidRPr="00A2690D">
        <w:t>consoante disposição do art. 18, § 1º, da LC n. 101/2000, c/c art. 37, incisos II e IX, da CR/88</w:t>
      </w:r>
      <w:r w:rsidR="00681912">
        <w:t xml:space="preserve"> </w:t>
      </w:r>
      <w:r w:rsidRPr="00A2690D">
        <w:t>e Consultas TCE/MG n. 838.498, 898.330 e 112704;</w:t>
      </w:r>
    </w:p>
    <w:p w14:paraId="32C2046C" w14:textId="77777777" w:rsidR="00681912" w:rsidRDefault="00A2690D" w:rsidP="00681912">
      <w:pPr>
        <w:pStyle w:val="222"/>
      </w:pPr>
      <w:r w:rsidRPr="00A2690D">
        <w:rPr>
          <w:b/>
          <w:bCs/>
        </w:rPr>
        <w:t xml:space="preserve">h) </w:t>
      </w:r>
      <w:r w:rsidRPr="00A2690D">
        <w:t>sejam contemplados no relatório do Órgão de Controle Interno todos os aspectos</w:t>
      </w:r>
      <w:r w:rsidR="00681912">
        <w:t xml:space="preserve"> </w:t>
      </w:r>
      <w:r w:rsidRPr="00A2690D">
        <w:t>estabelecidos em atos normativos deste Tribunal, sendo estes para o exercício sob análise</w:t>
      </w:r>
      <w:r w:rsidR="00681912">
        <w:t xml:space="preserve"> </w:t>
      </w:r>
      <w:r w:rsidRPr="00A2690D">
        <w:t>especificados no item 1 do Anexo I da INTC n. 04/2017.</w:t>
      </w:r>
    </w:p>
    <w:p w14:paraId="673B995F" w14:textId="77777777" w:rsidR="00681912" w:rsidRDefault="00A2690D" w:rsidP="00681912">
      <w:pPr>
        <w:pStyle w:val="222"/>
      </w:pPr>
      <w:r w:rsidRPr="00A2690D">
        <w:rPr>
          <w:b/>
          <w:bCs/>
        </w:rPr>
        <w:t xml:space="preserve">Cientifico </w:t>
      </w:r>
      <w:r w:rsidRPr="00A2690D">
        <w:t>o responsável pelo Órgão de Controle Interno que, ao tomar conhecimento de</w:t>
      </w:r>
      <w:r w:rsidR="00681912">
        <w:t xml:space="preserve"> </w:t>
      </w:r>
      <w:r w:rsidRPr="00A2690D">
        <w:t>irregularidade ou ilegalidade, deverá dar ciência a este Tribunal, sob pena de responsabilidade</w:t>
      </w:r>
      <w:r w:rsidR="00681912">
        <w:t xml:space="preserve"> </w:t>
      </w:r>
      <w:r w:rsidRPr="00A2690D">
        <w:t>solidária, conforme exige o parágrafo único, do art. 81, da Constituição Estadual de 1989.</w:t>
      </w:r>
    </w:p>
    <w:p w14:paraId="209C0591" w14:textId="77777777" w:rsidR="00681912" w:rsidRDefault="00A2690D" w:rsidP="00681912">
      <w:pPr>
        <w:pStyle w:val="222"/>
      </w:pPr>
      <w:r w:rsidRPr="00A2690D">
        <w:t>Oportuno destacar que a deliberação em sede de parecer prévio não impede a apreciação</w:t>
      </w:r>
      <w:r w:rsidR="00681912">
        <w:t xml:space="preserve"> </w:t>
      </w:r>
      <w:r w:rsidRPr="00A2690D">
        <w:t>posterior de atos relativos ao exercício financeiro, em razão de representação, denúncia ou de</w:t>
      </w:r>
      <w:r w:rsidR="00681912">
        <w:t xml:space="preserve"> </w:t>
      </w:r>
      <w:r w:rsidRPr="00A2690D">
        <w:t>outra ação fiscalizadora do Tribunal.</w:t>
      </w:r>
    </w:p>
    <w:p w14:paraId="6F0D69FA" w14:textId="25EEAA8E" w:rsidR="00A2690D" w:rsidRDefault="00A2690D" w:rsidP="00681912">
      <w:pPr>
        <w:pStyle w:val="222"/>
      </w:pPr>
      <w:r w:rsidRPr="00A2690D">
        <w:t>Cumpridas as disposições dos arts. 84 e 85 do Regimento Interno deste Tribunal (aprovado pela</w:t>
      </w:r>
      <w:r w:rsidR="00681912">
        <w:t xml:space="preserve"> </w:t>
      </w:r>
      <w:r w:rsidRPr="00A2690D">
        <w:t xml:space="preserve">Resolução n. 24/2023), </w:t>
      </w:r>
      <w:r w:rsidRPr="00A2690D">
        <w:rPr>
          <w:b/>
          <w:bCs/>
        </w:rPr>
        <w:t>arquivem-se os autos</w:t>
      </w:r>
      <w:r w:rsidRPr="00A2690D">
        <w:t>.</w:t>
      </w:r>
    </w:p>
    <w:p w14:paraId="3DEFA028" w14:textId="77777777" w:rsidR="001E2717" w:rsidRDefault="00521D03" w:rsidP="001E2717">
      <w:pPr>
        <w:pStyle w:val="111"/>
      </w:pPr>
      <w:r w:rsidRPr="00521D03">
        <w:t>Tendo em vista a posição da Corte de Contas que considerou regulares as contas do Exercício de 2023, aprovando-a com recomendações, não há como contradizer o parecer prévio enviado por todos seus fundamentos jurídicos, financeiros e orçamentário.</w:t>
      </w:r>
    </w:p>
    <w:p w14:paraId="569B3A95" w14:textId="75A780CF" w:rsidR="001E2717" w:rsidRDefault="001E2717" w:rsidP="001E2717">
      <w:pPr>
        <w:pStyle w:val="111"/>
      </w:pPr>
      <w:r>
        <w:t xml:space="preserve">Contudo, importante registrar as recomendações da Corte de Contas no que tange ao </w:t>
      </w:r>
      <w:r w:rsidR="00CF4700">
        <w:t xml:space="preserve">às suplementações, computo de despesa de pessoal dos terceirizados, </w:t>
      </w:r>
      <w:r w:rsidR="00E07692">
        <w:t>individualização das contas nas ações de serviços de saúde, dentre as várias outras recomendações que se não atendidas prejudicam a transparência das contas e da própria execução orçamentária.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F218653" w14:textId="2F53FEDA" w:rsidR="000023CA" w:rsidRPr="000023CA" w:rsidRDefault="000023CA" w:rsidP="000023CA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0023CA">
        <w:rPr>
          <w:rFonts w:ascii="Times New Roman" w:hAnsi="Times New Roman"/>
          <w:sz w:val="24"/>
          <w:szCs w:val="24"/>
        </w:rPr>
        <w:t>Diante do exposto e de tudo que dos autos constam, somos de parecer pela aprovação das contas referente ao exercício de 2023, com as devidas recomendações do Tribunal de Contas de Minas Gerais</w:t>
      </w:r>
      <w:r w:rsidR="002D2831">
        <w:rPr>
          <w:rFonts w:ascii="Times New Roman" w:hAnsi="Times New Roman"/>
          <w:sz w:val="24"/>
          <w:szCs w:val="24"/>
        </w:rPr>
        <w:t xml:space="preserve">, </w:t>
      </w:r>
      <w:r w:rsidR="00565620">
        <w:rPr>
          <w:rFonts w:ascii="Times New Roman" w:hAnsi="Times New Roman"/>
          <w:sz w:val="24"/>
          <w:szCs w:val="24"/>
        </w:rPr>
        <w:t xml:space="preserve">com apresentação de </w:t>
      </w:r>
      <w:r w:rsidR="002D2831">
        <w:rPr>
          <w:rFonts w:ascii="Times New Roman" w:hAnsi="Times New Roman"/>
          <w:sz w:val="24"/>
          <w:szCs w:val="24"/>
        </w:rPr>
        <w:t xml:space="preserve">Projeto de </w:t>
      </w:r>
      <w:r w:rsidR="00565620">
        <w:rPr>
          <w:rFonts w:ascii="Times New Roman" w:hAnsi="Times New Roman"/>
          <w:sz w:val="24"/>
          <w:szCs w:val="24"/>
        </w:rPr>
        <w:t>Decreto Legislativo em anexo</w:t>
      </w:r>
      <w:r w:rsidRPr="000023CA">
        <w:rPr>
          <w:rFonts w:ascii="Times New Roman" w:hAnsi="Times New Roman"/>
          <w:sz w:val="24"/>
          <w:szCs w:val="24"/>
        </w:rPr>
        <w:t>.</w:t>
      </w:r>
    </w:p>
    <w:p w14:paraId="624BDF61" w14:textId="181CF7CE" w:rsidR="00D6617B" w:rsidRDefault="000023CA" w:rsidP="000023CA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0023CA">
        <w:rPr>
          <w:rFonts w:ascii="Times New Roman" w:hAnsi="Times New Roman"/>
          <w:sz w:val="24"/>
          <w:szCs w:val="24"/>
        </w:rPr>
        <w:t>Fica consignado e ressalvado a possibilidade da apreciação posterior de atos relativos ao mencionado exercício financeiro, em virtude de representação, denúncia de irregularidades ou da própria ação fiscalizadora da Corte de Contas Mineira.</w:t>
      </w:r>
    </w:p>
    <w:p w14:paraId="3245A734" w14:textId="7308AE28" w:rsidR="00AD25D2" w:rsidRDefault="00D6617B" w:rsidP="00AD25D2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2F0E1CAF" w14:textId="77777777" w:rsidR="002E2DA3" w:rsidRDefault="002E2DA3" w:rsidP="00AD25D2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55E5DC7C" w14:textId="4CA378A9" w:rsidR="00187C64" w:rsidRPr="00AD25D2" w:rsidRDefault="00AE5046" w:rsidP="00AD25D2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D1EEB">
        <w:rPr>
          <w:rFonts w:ascii="Times New Roman" w:hAnsi="Times New Roman"/>
          <w:sz w:val="24"/>
          <w:szCs w:val="24"/>
        </w:rPr>
        <w:t>05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D1EEB">
        <w:rPr>
          <w:rFonts w:ascii="Times New Roman" w:hAnsi="Times New Roman"/>
          <w:sz w:val="24"/>
          <w:szCs w:val="24"/>
        </w:rPr>
        <w:t>maio</w:t>
      </w:r>
      <w:r w:rsidR="005778E2">
        <w:rPr>
          <w:rFonts w:ascii="Times New Roman" w:hAnsi="Times New Roman"/>
          <w:sz w:val="24"/>
          <w:szCs w:val="24"/>
        </w:rPr>
        <w:t xml:space="preserve">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21015F86" w14:textId="77777777" w:rsidR="00AD25D2" w:rsidRDefault="00AD25D2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4D1ED6" w14:paraId="5401D677" w14:textId="77777777" w:rsidTr="00AD25D2">
        <w:tc>
          <w:tcPr>
            <w:tcW w:w="4885" w:type="dxa"/>
          </w:tcPr>
          <w:p w14:paraId="675C55CA" w14:textId="77777777" w:rsidR="004D1ED6" w:rsidRDefault="004D1ED6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52B">
              <w:rPr>
                <w:rFonts w:ascii="Times New Roman" w:hAnsi="Times New Roman"/>
                <w:b/>
                <w:sz w:val="24"/>
                <w:szCs w:val="24"/>
              </w:rPr>
              <w:t>João Guilherme Carvalho da Silva</w:t>
            </w:r>
          </w:p>
          <w:p w14:paraId="7840BAB2" w14:textId="3E83A12F" w:rsidR="004D1ED6" w:rsidRDefault="004D1ED6" w:rsidP="00AD25D2">
            <w:pPr>
              <w:jc w:val="center"/>
            </w:pPr>
            <w:r w:rsidRPr="00886AE3">
              <w:rPr>
                <w:rFonts w:ascii="Times New Roman" w:hAnsi="Times New Roman"/>
                <w:b/>
                <w:sz w:val="24"/>
                <w:szCs w:val="24"/>
              </w:rPr>
              <w:t>Presidente da CP-JLRFOs</w:t>
            </w:r>
          </w:p>
        </w:tc>
        <w:tc>
          <w:tcPr>
            <w:tcW w:w="4886" w:type="dxa"/>
          </w:tcPr>
          <w:p w14:paraId="29F8C3D6" w14:textId="77777777" w:rsidR="004D1ED6" w:rsidRDefault="004D1ED6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D3">
              <w:rPr>
                <w:rFonts w:ascii="Times New Roman" w:hAnsi="Times New Roman"/>
                <w:b/>
                <w:sz w:val="24"/>
                <w:szCs w:val="24"/>
              </w:rPr>
              <w:t>Geovana de Paiva</w:t>
            </w:r>
          </w:p>
          <w:p w14:paraId="66472FCE" w14:textId="477DC1C2" w:rsidR="004D1ED6" w:rsidRDefault="004D1ED6" w:rsidP="00AD25D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Relatora da </w:t>
            </w:r>
            <w:r w:rsidRPr="00886AE3">
              <w:rPr>
                <w:rFonts w:ascii="Times New Roman" w:hAnsi="Times New Roman"/>
                <w:b/>
                <w:sz w:val="24"/>
                <w:szCs w:val="24"/>
              </w:rPr>
              <w:t>CP-JLRFOs</w:t>
            </w:r>
          </w:p>
        </w:tc>
      </w:tr>
      <w:tr w:rsidR="004D1ED6" w14:paraId="618FA4F9" w14:textId="77777777" w:rsidTr="00AD25D2">
        <w:tc>
          <w:tcPr>
            <w:tcW w:w="4885" w:type="dxa"/>
          </w:tcPr>
          <w:p w14:paraId="634807CA" w14:textId="77777777" w:rsidR="004D1ED6" w:rsidRDefault="004D1ED6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DD9E29" w14:textId="77777777" w:rsidR="00AD25D2" w:rsidRDefault="00AD25D2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BDD9BB" w14:textId="77777777" w:rsidR="00AD25D2" w:rsidRDefault="00AD25D2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2DFE48" w14:textId="77777777" w:rsidR="00AD25D2" w:rsidRPr="003B252B" w:rsidRDefault="00AD25D2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6380DC48" w14:textId="77777777" w:rsidR="004D1ED6" w:rsidRPr="00F41DD3" w:rsidRDefault="004D1ED6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BFF" w14:paraId="6EF1342B" w14:textId="77777777" w:rsidTr="00AD25D2">
        <w:tc>
          <w:tcPr>
            <w:tcW w:w="9771" w:type="dxa"/>
            <w:gridSpan w:val="2"/>
          </w:tcPr>
          <w:p w14:paraId="024D2EC4" w14:textId="77777777" w:rsidR="006A3BFF" w:rsidRDefault="00AD25D2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5D2">
              <w:rPr>
                <w:rFonts w:ascii="Times New Roman" w:hAnsi="Times New Roman"/>
                <w:b/>
                <w:sz w:val="24"/>
                <w:szCs w:val="24"/>
              </w:rPr>
              <w:t>José Hélio de Brito Júnior</w:t>
            </w:r>
          </w:p>
          <w:p w14:paraId="2E0E2013" w14:textId="32CF31C2" w:rsidR="00AD25D2" w:rsidRPr="00F41DD3" w:rsidRDefault="00AD25D2" w:rsidP="00AD2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da </w:t>
            </w:r>
            <w:r w:rsidRPr="00886AE3">
              <w:rPr>
                <w:rFonts w:ascii="Times New Roman" w:hAnsi="Times New Roman"/>
                <w:b/>
                <w:sz w:val="24"/>
                <w:szCs w:val="24"/>
              </w:rPr>
              <w:t>CP-JLRFOs</w:t>
            </w:r>
          </w:p>
        </w:tc>
      </w:tr>
    </w:tbl>
    <w:p w14:paraId="55E5DC7E" w14:textId="77777777" w:rsidR="003301D7" w:rsidRPr="004D1ED6" w:rsidRDefault="003301D7" w:rsidP="004D1ED6"/>
    <w:p w14:paraId="55E5DC85" w14:textId="220B4255" w:rsidR="00886AE3" w:rsidRPr="00886AE3" w:rsidRDefault="00187C64" w:rsidP="00AD25D2">
      <w:pPr>
        <w:spacing w:after="0" w:line="360" w:lineRule="auto"/>
        <w:jc w:val="both"/>
        <w:rPr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bookmarkStart w:id="0" w:name="_GoBack"/>
      <w:bookmarkEnd w:id="0"/>
    </w:p>
    <w:sectPr w:rsidR="00886AE3" w:rsidRPr="00886AE3" w:rsidSect="00673680">
      <w:headerReference w:type="default" r:id="rId7"/>
      <w:foot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43FCD" w14:textId="77777777" w:rsidR="00783245" w:rsidRDefault="00783245" w:rsidP="002F1453">
      <w:pPr>
        <w:spacing w:after="0" w:line="240" w:lineRule="auto"/>
      </w:pPr>
      <w:r>
        <w:separator/>
      </w:r>
    </w:p>
  </w:endnote>
  <w:endnote w:type="continuationSeparator" w:id="0">
    <w:p w14:paraId="2EF49107" w14:textId="77777777" w:rsidR="00783245" w:rsidRDefault="00783245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15904"/>
      <w:docPartObj>
        <w:docPartGallery w:val="Page Numbers (Bottom of Page)"/>
        <w:docPartUnique/>
      </w:docPartObj>
    </w:sdtPr>
    <w:sdtContent>
      <w:p w14:paraId="0BE88360" w14:textId="02A7E367" w:rsidR="002E2DA3" w:rsidRDefault="002E2D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245">
          <w:rPr>
            <w:noProof/>
          </w:rPr>
          <w:t>1</w:t>
        </w:r>
        <w:r>
          <w:fldChar w:fldCharType="end"/>
        </w:r>
      </w:p>
    </w:sdtContent>
  </w:sdt>
  <w:p w14:paraId="7B95C4BF" w14:textId="77777777" w:rsidR="002E2DA3" w:rsidRDefault="002E2D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023A" w14:textId="77777777" w:rsidR="00783245" w:rsidRDefault="00783245" w:rsidP="002F1453">
      <w:pPr>
        <w:spacing w:after="0" w:line="240" w:lineRule="auto"/>
      </w:pPr>
      <w:r>
        <w:separator/>
      </w:r>
    </w:p>
  </w:footnote>
  <w:footnote w:type="continuationSeparator" w:id="0">
    <w:p w14:paraId="15932DFE" w14:textId="77777777" w:rsidR="00783245" w:rsidRDefault="00783245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23CA"/>
    <w:rsid w:val="000060E1"/>
    <w:rsid w:val="000062D6"/>
    <w:rsid w:val="00006D2C"/>
    <w:rsid w:val="00027487"/>
    <w:rsid w:val="0005584C"/>
    <w:rsid w:val="000563E0"/>
    <w:rsid w:val="000662B0"/>
    <w:rsid w:val="00071885"/>
    <w:rsid w:val="000756E9"/>
    <w:rsid w:val="000807FB"/>
    <w:rsid w:val="000958BB"/>
    <w:rsid w:val="000962F9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A4537"/>
    <w:rsid w:val="001C3C20"/>
    <w:rsid w:val="001E2717"/>
    <w:rsid w:val="001E58F2"/>
    <w:rsid w:val="001F484B"/>
    <w:rsid w:val="0020074F"/>
    <w:rsid w:val="0022248F"/>
    <w:rsid w:val="0023697D"/>
    <w:rsid w:val="002378E1"/>
    <w:rsid w:val="00240667"/>
    <w:rsid w:val="002441B4"/>
    <w:rsid w:val="00253B9B"/>
    <w:rsid w:val="002658FB"/>
    <w:rsid w:val="00266FB8"/>
    <w:rsid w:val="00267F67"/>
    <w:rsid w:val="00273D78"/>
    <w:rsid w:val="00277394"/>
    <w:rsid w:val="002775A8"/>
    <w:rsid w:val="00282140"/>
    <w:rsid w:val="00283482"/>
    <w:rsid w:val="002A03DE"/>
    <w:rsid w:val="002A3DFB"/>
    <w:rsid w:val="002B6120"/>
    <w:rsid w:val="002B63C9"/>
    <w:rsid w:val="002C17AB"/>
    <w:rsid w:val="002C50CF"/>
    <w:rsid w:val="002D2831"/>
    <w:rsid w:val="002D6901"/>
    <w:rsid w:val="002E2DA3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2B"/>
    <w:rsid w:val="003B25AE"/>
    <w:rsid w:val="003C7DC2"/>
    <w:rsid w:val="003E1B50"/>
    <w:rsid w:val="00405A06"/>
    <w:rsid w:val="004102E7"/>
    <w:rsid w:val="00417CC1"/>
    <w:rsid w:val="00435AF7"/>
    <w:rsid w:val="004418A1"/>
    <w:rsid w:val="00453D01"/>
    <w:rsid w:val="0045592C"/>
    <w:rsid w:val="00461E15"/>
    <w:rsid w:val="004866E3"/>
    <w:rsid w:val="00491D88"/>
    <w:rsid w:val="00495482"/>
    <w:rsid w:val="004961BD"/>
    <w:rsid w:val="004A498B"/>
    <w:rsid w:val="004A645B"/>
    <w:rsid w:val="004A7F53"/>
    <w:rsid w:val="004B6283"/>
    <w:rsid w:val="004D1ED6"/>
    <w:rsid w:val="004D7E22"/>
    <w:rsid w:val="004E656E"/>
    <w:rsid w:val="00514329"/>
    <w:rsid w:val="00521D03"/>
    <w:rsid w:val="00526480"/>
    <w:rsid w:val="00533BC9"/>
    <w:rsid w:val="0054272A"/>
    <w:rsid w:val="005642EA"/>
    <w:rsid w:val="00565620"/>
    <w:rsid w:val="00573B21"/>
    <w:rsid w:val="00576ADE"/>
    <w:rsid w:val="005778E2"/>
    <w:rsid w:val="005967F6"/>
    <w:rsid w:val="005C75ED"/>
    <w:rsid w:val="005D1EEB"/>
    <w:rsid w:val="005E5958"/>
    <w:rsid w:val="005F0E9E"/>
    <w:rsid w:val="005F179A"/>
    <w:rsid w:val="005F4FA9"/>
    <w:rsid w:val="006054EF"/>
    <w:rsid w:val="00610F06"/>
    <w:rsid w:val="0061109F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81912"/>
    <w:rsid w:val="006A3BFF"/>
    <w:rsid w:val="006C156B"/>
    <w:rsid w:val="006C3CA9"/>
    <w:rsid w:val="006D7DFD"/>
    <w:rsid w:val="006E2324"/>
    <w:rsid w:val="006F27C3"/>
    <w:rsid w:val="006F51F0"/>
    <w:rsid w:val="00710FF4"/>
    <w:rsid w:val="00711A26"/>
    <w:rsid w:val="0072365A"/>
    <w:rsid w:val="00737829"/>
    <w:rsid w:val="0075727C"/>
    <w:rsid w:val="00762DE7"/>
    <w:rsid w:val="007700ED"/>
    <w:rsid w:val="00780C1A"/>
    <w:rsid w:val="00783245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35318"/>
    <w:rsid w:val="00857783"/>
    <w:rsid w:val="00873D5A"/>
    <w:rsid w:val="008857D3"/>
    <w:rsid w:val="00886AE3"/>
    <w:rsid w:val="008A19C8"/>
    <w:rsid w:val="008B2FF2"/>
    <w:rsid w:val="008D1F49"/>
    <w:rsid w:val="008E66CF"/>
    <w:rsid w:val="008F321F"/>
    <w:rsid w:val="009006DC"/>
    <w:rsid w:val="00944E95"/>
    <w:rsid w:val="0094628A"/>
    <w:rsid w:val="00952A92"/>
    <w:rsid w:val="0095342C"/>
    <w:rsid w:val="00971E79"/>
    <w:rsid w:val="00974630"/>
    <w:rsid w:val="00976E3A"/>
    <w:rsid w:val="009A0E08"/>
    <w:rsid w:val="009A5548"/>
    <w:rsid w:val="009A7EEF"/>
    <w:rsid w:val="009C4AF0"/>
    <w:rsid w:val="009D6C0B"/>
    <w:rsid w:val="009F0E89"/>
    <w:rsid w:val="00A04A2F"/>
    <w:rsid w:val="00A20F00"/>
    <w:rsid w:val="00A2690D"/>
    <w:rsid w:val="00A400DA"/>
    <w:rsid w:val="00A43EA2"/>
    <w:rsid w:val="00A62741"/>
    <w:rsid w:val="00AC085D"/>
    <w:rsid w:val="00AC18CA"/>
    <w:rsid w:val="00AD25D2"/>
    <w:rsid w:val="00AD39B4"/>
    <w:rsid w:val="00AD3D23"/>
    <w:rsid w:val="00AE5046"/>
    <w:rsid w:val="00AF2CA4"/>
    <w:rsid w:val="00AF70DB"/>
    <w:rsid w:val="00B03DDF"/>
    <w:rsid w:val="00B27ECC"/>
    <w:rsid w:val="00B377D5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39C5"/>
    <w:rsid w:val="00BD5672"/>
    <w:rsid w:val="00BE26E1"/>
    <w:rsid w:val="00BE27E0"/>
    <w:rsid w:val="00BF7B59"/>
    <w:rsid w:val="00C23757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CF4700"/>
    <w:rsid w:val="00D043FF"/>
    <w:rsid w:val="00D21022"/>
    <w:rsid w:val="00D6617B"/>
    <w:rsid w:val="00D72984"/>
    <w:rsid w:val="00D7328A"/>
    <w:rsid w:val="00DC3B60"/>
    <w:rsid w:val="00DD1206"/>
    <w:rsid w:val="00DF1068"/>
    <w:rsid w:val="00DF4098"/>
    <w:rsid w:val="00DF61A9"/>
    <w:rsid w:val="00E01462"/>
    <w:rsid w:val="00E02D28"/>
    <w:rsid w:val="00E07692"/>
    <w:rsid w:val="00E10A88"/>
    <w:rsid w:val="00E113C3"/>
    <w:rsid w:val="00E17C26"/>
    <w:rsid w:val="00E22C9C"/>
    <w:rsid w:val="00E31091"/>
    <w:rsid w:val="00E32165"/>
    <w:rsid w:val="00E60B1B"/>
    <w:rsid w:val="00E70F43"/>
    <w:rsid w:val="00E73FF9"/>
    <w:rsid w:val="00E83595"/>
    <w:rsid w:val="00E91262"/>
    <w:rsid w:val="00EA4740"/>
    <w:rsid w:val="00EB0870"/>
    <w:rsid w:val="00EB4163"/>
    <w:rsid w:val="00EC103C"/>
    <w:rsid w:val="00EC3B0A"/>
    <w:rsid w:val="00EC7F37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1449E"/>
    <w:rsid w:val="00F247F9"/>
    <w:rsid w:val="00F2586E"/>
    <w:rsid w:val="00F276E8"/>
    <w:rsid w:val="00F41DD3"/>
    <w:rsid w:val="00F700FD"/>
    <w:rsid w:val="00F83007"/>
    <w:rsid w:val="00F9624B"/>
    <w:rsid w:val="00FC3975"/>
    <w:rsid w:val="00FD180B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  <w:style w:type="paragraph" w:customStyle="1" w:styleId="111">
    <w:name w:val="111"/>
    <w:basedOn w:val="Normal"/>
    <w:qFormat/>
    <w:rsid w:val="00A2690D"/>
    <w:pPr>
      <w:spacing w:after="0" w:line="360" w:lineRule="auto"/>
      <w:ind w:firstLine="1276"/>
      <w:jc w:val="both"/>
    </w:pPr>
    <w:rPr>
      <w:rFonts w:ascii="Times New Roman" w:hAnsi="Times New Roman"/>
      <w:sz w:val="24"/>
      <w:szCs w:val="24"/>
    </w:rPr>
  </w:style>
  <w:style w:type="paragraph" w:customStyle="1" w:styleId="222">
    <w:name w:val="222"/>
    <w:basedOn w:val="111"/>
    <w:qFormat/>
    <w:rsid w:val="00A2690D"/>
    <w:pPr>
      <w:spacing w:before="120" w:after="120"/>
      <w:ind w:left="2268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4</cp:revision>
  <cp:lastPrinted>2024-11-11T19:39:00Z</cp:lastPrinted>
  <dcterms:created xsi:type="dcterms:W3CDTF">2025-05-05T20:24:00Z</dcterms:created>
  <dcterms:modified xsi:type="dcterms:W3CDTF">2025-05-06T17:44:00Z</dcterms:modified>
</cp:coreProperties>
</file>